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A0" w:rsidRDefault="00514EA0" w:rsidP="00514EA0">
      <w:pPr>
        <w:shd w:val="clear" w:color="auto" w:fill="FFFFFF"/>
        <w:rPr>
          <w:sz w:val="28"/>
          <w:szCs w:val="28"/>
        </w:rPr>
      </w:pPr>
    </w:p>
    <w:p w:rsidR="00514EA0" w:rsidRDefault="00514EA0" w:rsidP="00514EA0">
      <w:pPr>
        <w:shd w:val="clear" w:color="auto" w:fill="FFFFFF"/>
        <w:jc w:val="center"/>
        <w:rPr>
          <w:b/>
          <w:bCs/>
        </w:rPr>
      </w:pPr>
      <w:r w:rsidRPr="0023338F">
        <w:rPr>
          <w:b/>
          <w:bCs/>
        </w:rPr>
        <w:t>Основные положения</w:t>
      </w:r>
    </w:p>
    <w:p w:rsidR="00514EA0" w:rsidRDefault="00514EA0" w:rsidP="00514EA0">
      <w:pPr>
        <w:shd w:val="clear" w:color="auto" w:fill="FFFFFF"/>
        <w:jc w:val="center"/>
        <w:rPr>
          <w:b/>
        </w:rPr>
      </w:pPr>
      <w:r w:rsidRPr="0023338F">
        <w:rPr>
          <w:b/>
          <w:bCs/>
        </w:rPr>
        <w:t xml:space="preserve"> законодательства </w:t>
      </w:r>
      <w:r w:rsidRPr="0023338F">
        <w:rPr>
          <w:b/>
        </w:rPr>
        <w:t>по вопросам обеспечения доступности для инвалидов услуг</w:t>
      </w:r>
    </w:p>
    <w:p w:rsidR="00514EA0" w:rsidRPr="0023338F" w:rsidRDefault="00514EA0" w:rsidP="00514EA0">
      <w:pPr>
        <w:shd w:val="clear" w:color="auto" w:fill="FFFFFF"/>
        <w:jc w:val="center"/>
        <w:rPr>
          <w:b/>
          <w:bCs/>
        </w:rPr>
      </w:pPr>
      <w:r w:rsidRPr="0023338F">
        <w:rPr>
          <w:b/>
        </w:rPr>
        <w:t xml:space="preserve"> и оказания при этом необходимой помощи</w:t>
      </w:r>
    </w:p>
    <w:p w:rsidR="00514EA0" w:rsidRPr="0023338F" w:rsidRDefault="00514EA0" w:rsidP="00514EA0">
      <w:pPr>
        <w:numPr>
          <w:ilvl w:val="0"/>
          <w:numId w:val="2"/>
        </w:numPr>
        <w:ind w:left="0" w:firstLine="0"/>
        <w:jc w:val="both"/>
      </w:pPr>
      <w:r w:rsidRPr="0023338F">
        <w:t>Конвенция ООН о правах инвалидов – основные положения, касающиеся обеспечения доступности для инвалидов объектов социальной инфраструктуры и услуг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>Конвенция о правах инвалидов (Извлечения)</w:t>
      </w:r>
    </w:p>
    <w:p w:rsidR="00514EA0" w:rsidRPr="0023338F" w:rsidRDefault="00514EA0" w:rsidP="00514EA0">
      <w:pPr>
        <w:numPr>
          <w:ilvl w:val="0"/>
          <w:numId w:val="2"/>
        </w:numPr>
        <w:ind w:left="0" w:firstLine="0"/>
        <w:jc w:val="both"/>
      </w:pPr>
      <w:r w:rsidRPr="0023338F">
        <w:t>Виды нарушений функций организма, приводящие к инвалидности, и вызываемые ими ограничения способности осуществлять социально-бытовую деятельность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23338F">
          <w:t>1995 г</w:t>
        </w:r>
      </w:smartTag>
      <w:r w:rsidRPr="0023338F">
        <w:t>. № 181-ФЗ «О социальной защите инвалидов в Российской Федерации»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Классификации и критерии, используемые при осуществлении </w:t>
      </w:r>
      <w:proofErr w:type="gramStart"/>
      <w:r w:rsidRPr="0023338F">
        <w:t>медико-социальной</w:t>
      </w:r>
      <w:proofErr w:type="gramEnd"/>
      <w:r w:rsidRPr="0023338F">
        <w:t xml:space="preserve"> экспертизы граждан федеральными государственными учреждениями медико-социальной экспертизы, утвержденные Приказом Минтруда России от 29.09.2014 N 664н (Извлечения)</w:t>
      </w:r>
    </w:p>
    <w:p w:rsidR="00514EA0" w:rsidRPr="0023338F" w:rsidRDefault="00514EA0" w:rsidP="00514EA0">
      <w:pPr>
        <w:numPr>
          <w:ilvl w:val="0"/>
          <w:numId w:val="2"/>
        </w:numPr>
        <w:ind w:left="0" w:firstLine="0"/>
        <w:jc w:val="both"/>
      </w:pPr>
      <w:r w:rsidRPr="0023338F">
        <w:t>Общие подходы к обеспечению доступности для инвалидов  объектов и услуг в приоритетных сферах жизнедеятельности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23338F">
          <w:t>1995 г</w:t>
        </w:r>
      </w:smartTag>
      <w:r w:rsidRPr="0023338F">
        <w:t>.  № 181-ФЗ «О социальной защите инвалидов в Российской Федерации»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>Кодекс Российской Федерации об административных правонарушениях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СП 59.13330.2012. «Доступность зданий и сооружений для маломобильных групп населения. Актуализированная редакция СНиП 35-01-2001», утвержденный Приказом </w:t>
      </w:r>
      <w:proofErr w:type="spellStart"/>
      <w:r w:rsidRPr="0023338F">
        <w:t>Минрегиона</w:t>
      </w:r>
      <w:proofErr w:type="spellEnd"/>
      <w:r w:rsidRPr="0023338F">
        <w:t xml:space="preserve"> России от 27 декабря</w:t>
      </w:r>
      <w:r w:rsidRPr="0023338F">
        <w:rPr>
          <w:rStyle w:val="blk3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23338F">
          <w:rPr>
            <w:rStyle w:val="blk3"/>
          </w:rPr>
          <w:t>2011 г</w:t>
        </w:r>
      </w:smartTag>
      <w:r w:rsidRPr="0023338F">
        <w:rPr>
          <w:rStyle w:val="blk3"/>
        </w:rPr>
        <w:t xml:space="preserve">. № 605 </w:t>
      </w:r>
      <w:r w:rsidRPr="0023338F">
        <w:t>(Извлечения положений, которые носят обязательный характер)</w:t>
      </w:r>
    </w:p>
    <w:p w:rsidR="00514EA0" w:rsidRPr="0023338F" w:rsidRDefault="00514EA0" w:rsidP="00514EA0">
      <w:pPr>
        <w:numPr>
          <w:ilvl w:val="0"/>
          <w:numId w:val="2"/>
        </w:numPr>
        <w:ind w:left="0" w:firstLine="0"/>
        <w:jc w:val="both"/>
      </w:pPr>
      <w:r w:rsidRPr="0023338F">
        <w:t>Технические средства обеспечения доступности для инвалидов объектов социальной инфраструктуры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23338F">
          <w:t>1995 г</w:t>
        </w:r>
      </w:smartTag>
      <w:r w:rsidRPr="0023338F">
        <w:t>. № 181-ФЗ «О социальной защите инвалидов в Российской Федерации»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Классификация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5 г"/>
        </w:smartTagPr>
        <w:r w:rsidRPr="0023338F">
          <w:t>2005 г</w:t>
        </w:r>
      </w:smartTag>
      <w:r w:rsidRPr="0023338F">
        <w:t>. N 2347-р (утверждена Приказом Минтруда России от 24.05.2013 N 214н).</w:t>
      </w:r>
    </w:p>
    <w:p w:rsidR="00514EA0" w:rsidRPr="0023338F" w:rsidRDefault="00514EA0" w:rsidP="00514EA0">
      <w:pPr>
        <w:numPr>
          <w:ilvl w:val="0"/>
          <w:numId w:val="2"/>
        </w:numPr>
        <w:ind w:left="0" w:firstLine="0"/>
        <w:jc w:val="both"/>
      </w:pPr>
      <w:r w:rsidRPr="0023338F">
        <w:t>Обеспечение доступности для инвалидов общего образования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23338F">
          <w:t>2012 г</w:t>
        </w:r>
      </w:smartTag>
      <w:r w:rsidRPr="0023338F">
        <w:t xml:space="preserve">. № 273-ФЗ «Об образовании в Российской Федерации» 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</w:r>
      <w:proofErr w:type="spellStart"/>
      <w:r w:rsidRPr="0023338F">
        <w:t>Минобрнауки</w:t>
      </w:r>
      <w:proofErr w:type="spellEnd"/>
      <w:r w:rsidRPr="0023338F">
        <w:t xml:space="preserve"> России от 30 августа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№ 1014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23338F">
        <w:t>Минобрнауки</w:t>
      </w:r>
      <w:proofErr w:type="spellEnd"/>
      <w:r w:rsidRPr="0023338F">
        <w:t xml:space="preserve"> России от 30 августа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№ 1015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proofErr w:type="spellStart"/>
      <w:r w:rsidRPr="0023338F">
        <w:t>Минобрнауки</w:t>
      </w:r>
      <w:proofErr w:type="spellEnd"/>
      <w:r w:rsidRPr="0023338F">
        <w:t xml:space="preserve"> России от 29 августа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№ 1008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 w:rsidRPr="0023338F">
        <w:t>Минобрнауки</w:t>
      </w:r>
      <w:proofErr w:type="spellEnd"/>
      <w:r w:rsidRPr="0023338F">
        <w:t xml:space="preserve"> России от 25 декабря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№ 1394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Pr="0023338F">
        <w:t>Минобрнауки</w:t>
      </w:r>
      <w:proofErr w:type="spellEnd"/>
      <w:r w:rsidRPr="0023338F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№ 1400.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СП 59.13330.2012. «Доступность зданий и сооружений для маломобильных групп населения. Актуализированная редакция СНиП 35-01-2001», утвержденный Приказом </w:t>
      </w:r>
      <w:proofErr w:type="spellStart"/>
      <w:r w:rsidRPr="0023338F">
        <w:t>Минрегиона</w:t>
      </w:r>
      <w:proofErr w:type="spellEnd"/>
      <w:r w:rsidRPr="0023338F">
        <w:t xml:space="preserve">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23338F">
          <w:t>2011 г</w:t>
        </w:r>
      </w:smartTag>
      <w:r w:rsidRPr="0023338F">
        <w:t>. № 605 (Извлечения положений, которые носят обязательный характер)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lastRenderedPageBreak/>
        <w:t xml:space="preserve">Свод правил СП 138.13330.2012 «Общественные здания и сооружения, доступные маломобильным группам населения. Правила проектирования», </w:t>
      </w:r>
      <w:proofErr w:type="gramStart"/>
      <w:r w:rsidRPr="0023338F">
        <w:t>утвержденный</w:t>
      </w:r>
      <w:proofErr w:type="gramEnd"/>
      <w:r w:rsidRPr="0023338F">
        <w:t xml:space="preserve"> Приказом Госстроя от 27.12.2012 N 124/ГС (Извлечения)</w:t>
      </w: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23338F">
        <w:t xml:space="preserve"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инвалидов, направленные Письмом </w:t>
      </w:r>
      <w:proofErr w:type="spellStart"/>
      <w:r w:rsidRPr="0023338F">
        <w:t>Рособрнадзора</w:t>
      </w:r>
      <w:proofErr w:type="spellEnd"/>
      <w:r w:rsidRPr="0023338F">
        <w:t xml:space="preserve"> от 25.02.2015 № 02-60.</w:t>
      </w:r>
    </w:p>
    <w:p w:rsidR="00514EA0" w:rsidRPr="0023338F" w:rsidRDefault="00514EA0" w:rsidP="00514EA0">
      <w:pPr>
        <w:jc w:val="both"/>
        <w:rPr>
          <w:u w:val="single"/>
        </w:rPr>
      </w:pPr>
    </w:p>
    <w:p w:rsidR="00514EA0" w:rsidRPr="0023338F" w:rsidRDefault="00514EA0" w:rsidP="00514EA0">
      <w:pPr>
        <w:numPr>
          <w:ilvl w:val="0"/>
          <w:numId w:val="1"/>
        </w:numPr>
        <w:shd w:val="clear" w:color="auto" w:fill="FFFFFF"/>
        <w:ind w:left="0" w:firstLine="0"/>
        <w:jc w:val="both"/>
        <w:sectPr w:rsidR="00514EA0" w:rsidRPr="0023338F" w:rsidSect="009648DD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514EA0" w:rsidRDefault="00514EA0" w:rsidP="00514EA0">
      <w:pPr>
        <w:pStyle w:val="10"/>
        <w:spacing w:after="0" w:line="240" w:lineRule="auto"/>
        <w:outlineLvl w:val="0"/>
        <w:rPr>
          <w:sz w:val="24"/>
          <w:szCs w:val="24"/>
        </w:rPr>
      </w:pPr>
      <w:bookmarkStart w:id="0" w:name="_Toc424481427"/>
      <w:r w:rsidRPr="0023338F">
        <w:rPr>
          <w:sz w:val="24"/>
          <w:szCs w:val="24"/>
        </w:rPr>
        <w:lastRenderedPageBreak/>
        <w:t>Конвенция ООН</w:t>
      </w:r>
    </w:p>
    <w:p w:rsidR="00514EA0" w:rsidRDefault="00514EA0" w:rsidP="00514EA0">
      <w:pPr>
        <w:pStyle w:val="10"/>
        <w:spacing w:after="0" w:line="240" w:lineRule="auto"/>
        <w:outlineLvl w:val="0"/>
        <w:rPr>
          <w:sz w:val="24"/>
          <w:szCs w:val="24"/>
        </w:rPr>
      </w:pPr>
      <w:r w:rsidRPr="0023338F">
        <w:rPr>
          <w:sz w:val="24"/>
          <w:szCs w:val="24"/>
        </w:rPr>
        <w:t>о правах инвалидов – основные положения, касающиеся обеспечения доступности для инвалидов объектов социальной инфраструктуры и услуг</w:t>
      </w:r>
      <w:bookmarkEnd w:id="0"/>
    </w:p>
    <w:p w:rsidR="00514EA0" w:rsidRPr="0023338F" w:rsidRDefault="00514EA0" w:rsidP="00514EA0">
      <w:pPr>
        <w:pStyle w:val="10"/>
        <w:spacing w:after="0" w:line="240" w:lineRule="auto"/>
        <w:jc w:val="both"/>
        <w:outlineLvl w:val="0"/>
        <w:rPr>
          <w:sz w:val="24"/>
          <w:szCs w:val="24"/>
        </w:rPr>
      </w:pPr>
    </w:p>
    <w:p w:rsidR="00514EA0" w:rsidRPr="0023338F" w:rsidRDefault="00514EA0" w:rsidP="00514EA0">
      <w:pPr>
        <w:ind w:firstLine="709"/>
        <w:jc w:val="both"/>
      </w:pPr>
      <w:r w:rsidRPr="0023338F">
        <w:t>Основным международным документом, устанавливающим права инвалидов во всем мире, является Конвенция о правах инвалидов, принятая Генеральной Ассамблеей ООН 13 декабря 2006г.</w:t>
      </w:r>
    </w:p>
    <w:p w:rsidR="00514EA0" w:rsidRPr="0023338F" w:rsidRDefault="00514EA0" w:rsidP="00514EA0">
      <w:pPr>
        <w:ind w:firstLine="709"/>
        <w:jc w:val="both"/>
      </w:pPr>
      <w:r w:rsidRPr="0023338F">
        <w:t>Данная Конвенция после ратификации ее Российской Федерацией 25 сентября 2012г. в соответствии со статьей 15 Конституции РФ стала частью российского законодательства. Ее применение на территории нашей страны осуществляется путем принятия государственными органами нормативно-правовых актов, конкретизирующих способы реализации конкретных положений Конвенции.</w:t>
      </w:r>
    </w:p>
    <w:p w:rsidR="00514EA0" w:rsidRPr="0023338F" w:rsidRDefault="00514EA0" w:rsidP="00514EA0">
      <w:pPr>
        <w:ind w:firstLine="709"/>
        <w:jc w:val="both"/>
      </w:pPr>
      <w:r w:rsidRPr="0023338F">
        <w:t>В статье 1 Конвенции установлено, что ее цель заключается в поощрении, защите и обеспечении полного и равного осуществления всеми инвалидами всех прав человека и основных свобод, а также в поощрении уважения присущего им достоинства.</w:t>
      </w:r>
    </w:p>
    <w:p w:rsidR="00514EA0" w:rsidRPr="0023338F" w:rsidRDefault="00514EA0" w:rsidP="00514EA0">
      <w:pPr>
        <w:ind w:firstLine="709"/>
        <w:jc w:val="both"/>
      </w:pPr>
      <w:r w:rsidRPr="0023338F">
        <w:t>Для достижения этой цели в статье 3 Конвенции закреплен ряд принципов, на которых базируются все ее остальные положения. К этим принципам, в частности, относятся:</w:t>
      </w:r>
    </w:p>
    <w:p w:rsidR="00514EA0" w:rsidRPr="0023338F" w:rsidRDefault="00514EA0" w:rsidP="00514EA0">
      <w:pPr>
        <w:ind w:firstLine="709"/>
        <w:jc w:val="both"/>
      </w:pPr>
      <w:r w:rsidRPr="0023338F">
        <w:t>- полное и эффективное вовлечение и включение в общество;</w:t>
      </w:r>
    </w:p>
    <w:p w:rsidR="00514EA0" w:rsidRPr="0023338F" w:rsidRDefault="00514EA0" w:rsidP="00514EA0">
      <w:pPr>
        <w:jc w:val="both"/>
      </w:pPr>
      <w:r w:rsidRPr="0023338F">
        <w:t>- равенство возможностей;</w:t>
      </w:r>
    </w:p>
    <w:p w:rsidR="00514EA0" w:rsidRPr="0023338F" w:rsidRDefault="00514EA0" w:rsidP="00514EA0">
      <w:pPr>
        <w:jc w:val="both"/>
      </w:pPr>
      <w:r w:rsidRPr="0023338F">
        <w:t xml:space="preserve">- </w:t>
      </w:r>
      <w:proofErr w:type="spellStart"/>
      <w:r w:rsidRPr="0023338F">
        <w:t>недискриминация</w:t>
      </w:r>
      <w:proofErr w:type="spellEnd"/>
      <w:r w:rsidRPr="0023338F">
        <w:t>;</w:t>
      </w:r>
    </w:p>
    <w:p w:rsidR="00514EA0" w:rsidRPr="0023338F" w:rsidRDefault="00514EA0" w:rsidP="00514EA0">
      <w:pPr>
        <w:jc w:val="both"/>
      </w:pPr>
      <w:r w:rsidRPr="0023338F">
        <w:t>- доступность.</w:t>
      </w:r>
    </w:p>
    <w:p w:rsidR="00514EA0" w:rsidRPr="0023338F" w:rsidRDefault="00514EA0" w:rsidP="00514EA0">
      <w:pPr>
        <w:ind w:firstLine="720"/>
        <w:jc w:val="both"/>
      </w:pPr>
      <w:r w:rsidRPr="0023338F">
        <w:t>Указанные принципы логически вытекают один из другого. Для того чтобы обеспечить полное вовлечение и включение инвалида в общество, необходимо предоставить ему равные с другими людьми возможности. Для этого инвалид не должен подвергаться дискриминации. Основным способом устранения дискриминации инвалидов является обеспечение доступности.</w:t>
      </w:r>
    </w:p>
    <w:p w:rsidR="00514EA0" w:rsidRPr="0023338F" w:rsidRDefault="00514EA0" w:rsidP="00514EA0">
      <w:pPr>
        <w:ind w:firstLine="709"/>
        <w:jc w:val="both"/>
      </w:pPr>
      <w:proofErr w:type="gramStart"/>
      <w:r w:rsidRPr="0023338F">
        <w:t>Согласно статье 9 Конвенции чтобы наделить инвалидов возможностью вести независимый образ жизни и всесторонне участвовать во всех аспектах жизни, должны приниматься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городских, так</w:t>
      </w:r>
      <w:proofErr w:type="gramEnd"/>
      <w:r w:rsidRPr="0023338F">
        <w:t xml:space="preserve"> и в сельских районах. Эти меры, которые включают выявление и устранение препятствий и барьеров, мешающих доступности, должны распространяться, в частности:</w:t>
      </w:r>
    </w:p>
    <w:p w:rsidR="00514EA0" w:rsidRPr="0023338F" w:rsidRDefault="00514EA0" w:rsidP="00514EA0">
      <w:pPr>
        <w:ind w:firstLine="720"/>
        <w:jc w:val="both"/>
      </w:pPr>
      <w:r w:rsidRPr="0023338F">
        <w:t>- на здания, дороги, транспорт и другие, внутренние и внешние объекты, включая ОУ, жилые дома, медицинские учреждения и рабочие места;</w:t>
      </w:r>
    </w:p>
    <w:p w:rsidR="00514EA0" w:rsidRPr="0023338F" w:rsidRDefault="00514EA0" w:rsidP="00514EA0">
      <w:pPr>
        <w:ind w:firstLine="720"/>
        <w:jc w:val="both"/>
      </w:pPr>
      <w:r w:rsidRPr="0023338F">
        <w:t>- на информационные, коммуникационные и другие службы, включая электронные службы и экстренные службы.</w:t>
      </w:r>
    </w:p>
    <w:p w:rsidR="00514EA0" w:rsidRPr="0023338F" w:rsidRDefault="00514EA0" w:rsidP="00514EA0">
      <w:pPr>
        <w:ind w:firstLine="709"/>
        <w:jc w:val="both"/>
      </w:pPr>
      <w:r w:rsidRPr="0023338F">
        <w:t xml:space="preserve">В тех случаях, когда инвалидам не обеспечивается доступность услуг и архитектурных объектов, происходит их дискриминация. </w:t>
      </w:r>
    </w:p>
    <w:p w:rsidR="00514EA0" w:rsidRPr="0023338F" w:rsidRDefault="00514EA0" w:rsidP="00514EA0">
      <w:pPr>
        <w:ind w:firstLine="709"/>
        <w:jc w:val="both"/>
      </w:pPr>
      <w:r w:rsidRPr="0023338F">
        <w:t>В статье 2 Конвенции дискриминация по признаку инвалидности определяется как любое различие, исключение или ограничение по причине инвалидности, целью или результатом которого является умаление или отрицание признания, реализации или осуществления наравне с другими всех прав человека и основных свобод в политической, экономической, социальной, культурной, гражданской или любой иной области.</w:t>
      </w:r>
    </w:p>
    <w:p w:rsidR="00514EA0" w:rsidRPr="0023338F" w:rsidRDefault="00514EA0" w:rsidP="00514EA0">
      <w:pPr>
        <w:ind w:firstLine="709"/>
        <w:jc w:val="both"/>
      </w:pPr>
      <w:r w:rsidRPr="0023338F">
        <w:t>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почве. Это, в частности, означает, что государство устанавливает обязательные для исполнения требования, направленные на обеспечение доступности для инвалидов деятельности организаций, предоставляющих услуги населению.</w:t>
      </w:r>
    </w:p>
    <w:p w:rsidR="00514EA0" w:rsidRPr="0023338F" w:rsidRDefault="00514EA0" w:rsidP="00514EA0">
      <w:pPr>
        <w:ind w:firstLine="709"/>
        <w:jc w:val="both"/>
      </w:pPr>
      <w:r w:rsidRPr="0023338F">
        <w:lastRenderedPageBreak/>
        <w:t>Доступность для инвалидов достигается с помощью разумного приспособления. В статье 2 Конвенции разумное приспособление определяется как 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свобод.</w:t>
      </w:r>
    </w:p>
    <w:p w:rsidR="00514EA0" w:rsidRPr="0023338F" w:rsidRDefault="00514EA0" w:rsidP="00514EA0">
      <w:pPr>
        <w:ind w:firstLine="709"/>
        <w:jc w:val="both"/>
      </w:pPr>
      <w:r w:rsidRPr="0023338F">
        <w:t xml:space="preserve">Разумное приспособление заключается в том, что деятельность организации приспосабливается для инвалидов двумя способами. Во-первых, обеспечивается доступность зданий и сооружений данной организации путем оборудования их пандусами, широкими дверными проемами, надписями шрифтом Брайля, и т.п. Во-вторых, обеспечивается доступность для инвалидов услуг этих организаций путем изменения порядка их предоставления, оказания инвалидам дополнительной помощи при их получении, и т.п. </w:t>
      </w:r>
    </w:p>
    <w:p w:rsidR="00514EA0" w:rsidRPr="0023338F" w:rsidRDefault="00514EA0" w:rsidP="00514EA0">
      <w:pPr>
        <w:ind w:firstLine="709"/>
        <w:jc w:val="both"/>
      </w:pPr>
      <w:r w:rsidRPr="0023338F">
        <w:t xml:space="preserve">Указанные меры по приспособлению не могут быть беспредельными. Во-первых, они должны соответствовать потребностям инвалидов, вызванным ограничениями их жизнедеятельности. Например, инвалид вследствие заболевания </w:t>
      </w:r>
      <w:proofErr w:type="gramStart"/>
      <w:r w:rsidRPr="0023338F">
        <w:t>сердечно-сосудистой</w:t>
      </w:r>
      <w:proofErr w:type="gramEnd"/>
      <w:r w:rsidRPr="0023338F">
        <w:t xml:space="preserve"> системы при пользовании речным портом должен иметь возможность для отдыха в сидячем положении. Однако это не порождает право инвалида пользоваться залом повышенной комфортности для официальных делегаций, если есть сидячие места в общем зале. Во-вторых, меры по приспособлению должны соответствовать возможностям организаций. Например, не обосновано требование полностью </w:t>
      </w:r>
      <w:proofErr w:type="gramStart"/>
      <w:r w:rsidRPr="0023338F">
        <w:t>реконструировать</w:t>
      </w:r>
      <w:proofErr w:type="gramEnd"/>
      <w:r w:rsidRPr="0023338F">
        <w:t xml:space="preserve"> здание </w:t>
      </w:r>
      <w:r w:rsidRPr="0023338F">
        <w:rPr>
          <w:lang w:val="en-US"/>
        </w:rPr>
        <w:t>X</w:t>
      </w:r>
      <w:r w:rsidRPr="0023338F">
        <w:t>VI в., которое является памятником архитектуры.</w:t>
      </w:r>
    </w:p>
    <w:p w:rsidR="00514EA0" w:rsidRPr="0023338F" w:rsidRDefault="00514EA0" w:rsidP="00514EA0">
      <w:pPr>
        <w:ind w:firstLine="709"/>
        <w:jc w:val="both"/>
      </w:pPr>
      <w:r w:rsidRPr="0023338F">
        <w:t xml:space="preserve">С помощью разумного приспособления формируется доступная среда для инвалидов. Важной составляющей доступной среды является универсальный дизайн. Статья 2 Конвенции определяет универсальный дизайн как дизайн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 Универсальный дизайн не исключает </w:t>
      </w:r>
      <w:proofErr w:type="spellStart"/>
      <w:r w:rsidRPr="0023338F">
        <w:t>ассистивные</w:t>
      </w:r>
      <w:proofErr w:type="spellEnd"/>
      <w:r w:rsidRPr="0023338F">
        <w:t xml:space="preserve"> (т.е. вспомогательные) устройства для конкретных групп инвалидов, где это необходимо.</w:t>
      </w:r>
    </w:p>
    <w:p w:rsidR="00514EA0" w:rsidRPr="0023338F" w:rsidRDefault="00514EA0" w:rsidP="00514EA0">
      <w:pPr>
        <w:ind w:firstLine="709"/>
        <w:jc w:val="both"/>
      </w:pPr>
      <w:r w:rsidRPr="0023338F">
        <w:t>В целом, универсальный дизайн направлен на то, чтобы сделать обстановку, предметы максимально пригодными для использования всеми категориями граждан. Например, низко расположенным таксофоном могут пользоваться лица на инвалидных колясках, дети, люди низкого роста.</w:t>
      </w:r>
    </w:p>
    <w:p w:rsidR="00514EA0" w:rsidRPr="0023338F" w:rsidRDefault="00514EA0" w:rsidP="00514EA0">
      <w:pPr>
        <w:ind w:firstLine="709"/>
        <w:jc w:val="both"/>
      </w:pPr>
      <w:r w:rsidRPr="0023338F">
        <w:t xml:space="preserve">Российское законодательство конкретизирует реализацию положений Конвенции о правах инвалидов. </w:t>
      </w:r>
      <w:proofErr w:type="gramStart"/>
      <w:r w:rsidRPr="0023338F">
        <w:t xml:space="preserve">Создание доступной среды для инвалидов регулируют Федеральный закон от 24 ноября 1995 года N 181-ФЗ «О социальной защите инвалидов в Российской Федерации» (ст. 15),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23338F">
          <w:t>2012 г</w:t>
        </w:r>
      </w:smartTag>
      <w:r w:rsidRPr="0023338F">
        <w:t xml:space="preserve">. № 273-ФЗ «Об образовании в Российской Федерации» (ст. 79), Федеральный закон от 28 декабря </w:t>
      </w:r>
      <w:smartTag w:uri="urn:schemas-microsoft-com:office:smarttags" w:element="metricconverter">
        <w:smartTagPr>
          <w:attr w:name="ProductID" w:val="2013 г"/>
        </w:smartTagPr>
        <w:r w:rsidRPr="0023338F">
          <w:t>2013 г</w:t>
        </w:r>
      </w:smartTag>
      <w:r w:rsidRPr="0023338F">
        <w:t>. N 442-ФЗ «Об основах социального обслуживания граждан в Российской Федерации» (п. 4 ст. 19</w:t>
      </w:r>
      <w:proofErr w:type="gramEnd"/>
      <w:r w:rsidRPr="0023338F">
        <w:t xml:space="preserve">), </w:t>
      </w:r>
      <w:proofErr w:type="gramStart"/>
      <w:r w:rsidRPr="0023338F">
        <w:t xml:space="preserve">Федеральный закон от 10 января 2003 года N 18-ФЗ «Устав железнодорожного транспорта Российской Федерации» (ст. 60.1), Федеральный закон от 8 ноября 2007 года N 259-ФЗ «Устав автомобильного транспорта и городского наземного электрического транспорта» (ст. 21.1), </w:t>
      </w:r>
      <w:r w:rsidRPr="0023338F">
        <w:rPr>
          <w:rStyle w:val="blk"/>
          <w:rFonts w:eastAsia="Times New Roman"/>
        </w:rPr>
        <w:t xml:space="preserve">Воздушный кодекс РФ (ст. 106.1), </w:t>
      </w:r>
      <w:r w:rsidRPr="0023338F">
        <w:t>Федеральный закон от 7 июля 2003 года N 126-ФЗ «О связи» (п. 2 ст. 46), и другие нормативные правовые акты.</w:t>
      </w:r>
      <w:proofErr w:type="gramEnd"/>
    </w:p>
    <w:p w:rsidR="00514EA0" w:rsidRPr="0023338F" w:rsidRDefault="00514EA0" w:rsidP="00514EA0">
      <w:pPr>
        <w:shd w:val="clear" w:color="auto" w:fill="FFFFFF"/>
        <w:ind w:firstLine="709"/>
        <w:jc w:val="both"/>
      </w:pPr>
      <w:r w:rsidRPr="0023338F">
        <w:t>Реализация на практике требований правовых актов, касающихся создания доступной среды для инвалидов, является исполнением обязательств, взятых перед инвалидами российским обществом в лице государства, ратифицировавшего Конвенцию о правах инвалидов Виды нарушений функций организма, приводящие к инвалидности, и вызываемые ими ограничения способности осуществлять социально-бытовую деятельность</w:t>
      </w:r>
    </w:p>
    <w:p w:rsidR="00514EA0" w:rsidRPr="0023338F" w:rsidRDefault="00514EA0" w:rsidP="00514EA0">
      <w:pPr>
        <w:numPr>
          <w:ilvl w:val="0"/>
          <w:numId w:val="4"/>
        </w:numPr>
        <w:ind w:left="0" w:firstLine="709"/>
        <w:jc w:val="both"/>
        <w:rPr>
          <w:b/>
        </w:rPr>
      </w:pPr>
      <w:r w:rsidRPr="0023338F">
        <w:rPr>
          <w:b/>
        </w:rPr>
        <w:t>Установление инвалидности в соответствии с российским законодательством.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lastRenderedPageBreak/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t xml:space="preserve">При этом под ограничением жизнедеятельности понимается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 </w:t>
      </w:r>
      <w:r w:rsidRPr="0023338F">
        <w:rPr>
          <w:snapToGrid w:val="0"/>
        </w:rPr>
        <w:t>Основные категории жизнедеятельности человека представлены в табл. 1.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Таблица 1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Содержание категорий жизнедеятельности человека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493"/>
        <w:gridCol w:w="7078"/>
      </w:tblGrid>
      <w:tr w:rsidR="00514EA0" w:rsidRPr="0023338F" w:rsidTr="00852D0B">
        <w:trPr>
          <w:trHeight w:val="837"/>
        </w:trPr>
        <w:tc>
          <w:tcPr>
            <w:tcW w:w="2518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Категории жизнедеятельности</w:t>
            </w:r>
          </w:p>
        </w:tc>
        <w:tc>
          <w:tcPr>
            <w:tcW w:w="7903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Содержание категории жизнедеятельности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самообслуживанию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rPr>
                <w:snapToGrid w:val="0"/>
              </w:rPr>
              <w:t>Способность человека самостоятельно осуществлять основные физиологические потребности, выполнять повседневную бытовую деятельность, в том числе навыки личной гигиены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самостоятельному передвижению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rPr>
                <w:snapToGrid w:val="0"/>
              </w:rPr>
              <w:t>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ориентации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t>Способность к адекватному восприятию личности и окружающей обстановки, оценке ситуации, к определению времени и места нахождения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общению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t>Способность к установлению контактов между людьми путем восприятия, переработки, хранения, воспроизведения и передачи информации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контролировать свое поведение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t>Способность к осознанию себя и адекватному поведению с учетом социально-правовых и морально-этических норм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обучению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t>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</w:t>
            </w:r>
          </w:p>
        </w:tc>
      </w:tr>
      <w:tr w:rsidR="00514EA0" w:rsidRPr="0023338F" w:rsidTr="00852D0B">
        <w:tc>
          <w:tcPr>
            <w:tcW w:w="2518" w:type="dxa"/>
          </w:tcPr>
          <w:p w:rsidR="00514EA0" w:rsidRPr="0023338F" w:rsidRDefault="00514EA0" w:rsidP="00852D0B">
            <w:pPr>
              <w:ind w:firstLine="709"/>
              <w:jc w:val="both"/>
              <w:rPr>
                <w:b/>
                <w:bCs/>
                <w:snapToGrid w:val="0"/>
              </w:rPr>
            </w:pPr>
            <w:r w:rsidRPr="0023338F">
              <w:rPr>
                <w:b/>
                <w:bCs/>
                <w:snapToGrid w:val="0"/>
              </w:rPr>
              <w:t>Способность к трудовой деятельности</w:t>
            </w:r>
          </w:p>
        </w:tc>
        <w:tc>
          <w:tcPr>
            <w:tcW w:w="7903" w:type="dxa"/>
          </w:tcPr>
          <w:p w:rsidR="00514EA0" w:rsidRPr="0023338F" w:rsidRDefault="00514EA0" w:rsidP="00852D0B">
            <w:pPr>
              <w:ind w:firstLine="709"/>
              <w:jc w:val="both"/>
              <w:rPr>
                <w:snapToGrid w:val="0"/>
              </w:rPr>
            </w:pPr>
            <w:r w:rsidRPr="0023338F">
              <w:t>Способность осуществлять трудовую деятельность в соответствии с требованиями к содержанию, объему, качеству и условиям выполнения работы</w:t>
            </w:r>
          </w:p>
        </w:tc>
      </w:tr>
    </w:tbl>
    <w:p w:rsidR="00514EA0" w:rsidRPr="0023338F" w:rsidRDefault="00514EA0" w:rsidP="00514EA0">
      <w:pPr>
        <w:ind w:firstLine="709"/>
        <w:jc w:val="both"/>
        <w:rPr>
          <w:snapToGrid w:val="0"/>
        </w:rPr>
      </w:pP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 xml:space="preserve">Установление инвалидности у взрослых и детей осуществляется при предоставлении государственной услуги по проведению </w:t>
      </w:r>
      <w:proofErr w:type="gramStart"/>
      <w:r w:rsidRPr="0023338F">
        <w:rPr>
          <w:snapToGrid w:val="0"/>
        </w:rPr>
        <w:t>медико-социальной</w:t>
      </w:r>
      <w:proofErr w:type="gramEnd"/>
      <w:r w:rsidRPr="0023338F">
        <w:rPr>
          <w:snapToGrid w:val="0"/>
        </w:rPr>
        <w:t xml:space="preserve"> экспертизы. Для выполнения этой услуги в РФ функционируют федеральные учреждения </w:t>
      </w:r>
      <w:proofErr w:type="gramStart"/>
      <w:r w:rsidRPr="0023338F">
        <w:rPr>
          <w:snapToGrid w:val="0"/>
        </w:rPr>
        <w:t>медико-социальной</w:t>
      </w:r>
      <w:proofErr w:type="gramEnd"/>
      <w:r w:rsidRPr="0023338F">
        <w:rPr>
          <w:snapToGrid w:val="0"/>
        </w:rPr>
        <w:t xml:space="preserve"> экспертизы, подведомственные Министерству труда и социальной защиты Российской Федерации.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Условиями признания гражданина инвалидом являются: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–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– ограничение жизнедеятельности;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lastRenderedPageBreak/>
        <w:t>– необходимость осуществления мер социальной защиты, включая реабилитацию.</w:t>
      </w:r>
    </w:p>
    <w:p w:rsidR="00514EA0" w:rsidRPr="0023338F" w:rsidRDefault="00514EA0" w:rsidP="00514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38F">
        <w:rPr>
          <w:rFonts w:ascii="Times New Roman" w:hAnsi="Times New Roman" w:cs="Times New Roman"/>
          <w:sz w:val="24"/>
          <w:szCs w:val="24"/>
        </w:rPr>
        <w:t>Наличие лишь одного из указанных условий не является основанием, достаточным для признания гражданина инвалидом.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Инвалидность устанавливают исходя из комплексной оценки состояния здоровья гражданина в соответствии с Классификациями и критериями, утвержденными Минтрудом РФ.</w:t>
      </w:r>
    </w:p>
    <w:p w:rsidR="00514EA0" w:rsidRPr="0023338F" w:rsidRDefault="00514EA0" w:rsidP="00514EA0">
      <w:pPr>
        <w:ind w:firstLine="709"/>
        <w:jc w:val="both"/>
        <w:rPr>
          <w:snapToGrid w:val="0"/>
        </w:rPr>
      </w:pPr>
      <w:r w:rsidRPr="0023338F">
        <w:t xml:space="preserve">В зависимости от степени расстройства функций организма гражданину, признанному инвалидом, устанавливается I, II или III группа инвалидности. I группа инвалидности устанавливается при наиболее тяжелых расстройствах функций организма, III группа инвалидности – при наиболее легких. </w:t>
      </w:r>
      <w:r w:rsidRPr="0023338F">
        <w:rPr>
          <w:snapToGrid w:val="0"/>
        </w:rPr>
        <w:t>Ребенку (лицу в возрасте до 18 лет) не зависимо от тяжести расстройства функций организма устанавливается категория «ребенок – инвалид».</w:t>
      </w:r>
    </w:p>
    <w:p w:rsidR="00514EA0" w:rsidRPr="0023338F" w:rsidRDefault="00514EA0" w:rsidP="00514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38F">
        <w:rPr>
          <w:rFonts w:ascii="Times New Roman" w:hAnsi="Times New Roman" w:cs="Times New Roman"/>
          <w:sz w:val="24"/>
          <w:szCs w:val="24"/>
        </w:rPr>
        <w:t>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реабилитации. Порядок составления и формы справки и индивидуальной программы реабилитации утверждаются Минтруда России.</w:t>
      </w:r>
    </w:p>
    <w:p w:rsidR="00514EA0" w:rsidRDefault="00514EA0" w:rsidP="00514EA0">
      <w:pPr>
        <w:ind w:firstLine="709"/>
        <w:jc w:val="both"/>
        <w:rPr>
          <w:snapToGrid w:val="0"/>
        </w:rPr>
      </w:pPr>
      <w:r w:rsidRPr="0023338F">
        <w:rPr>
          <w:snapToGrid w:val="0"/>
        </w:rPr>
        <w:t>Наряду с термином «инвалид» в нормативных актах и специальной литературе используется термин «маломобильные группы населения» (МГН), который определяется как «люди,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здесь отнесены: инвалиды, люди с временным нарушением здоровья, беременные женщины, люди старших возрастов, люди с детскими колясками и т.п.». Таким образом, МГН – это более широкая категория людей, включающая в себя инвалидов.</w:t>
      </w:r>
    </w:p>
    <w:p w:rsidR="00514EA0" w:rsidRDefault="00514EA0" w:rsidP="00514EA0">
      <w:pPr>
        <w:ind w:firstLine="709"/>
        <w:jc w:val="both"/>
        <w:rPr>
          <w:snapToGrid w:val="0"/>
        </w:rPr>
      </w:pPr>
    </w:p>
    <w:p w:rsidR="00514EA0" w:rsidRDefault="00514EA0" w:rsidP="00514EA0">
      <w:pPr>
        <w:ind w:firstLine="709"/>
        <w:jc w:val="both"/>
        <w:rPr>
          <w:snapToGrid w:val="0"/>
        </w:rPr>
      </w:pPr>
    </w:p>
    <w:p w:rsidR="00514EA0" w:rsidRPr="0023338F" w:rsidRDefault="00514EA0" w:rsidP="00514EA0">
      <w:pPr>
        <w:ind w:firstLine="709"/>
        <w:jc w:val="both"/>
        <w:rPr>
          <w:snapToGrid w:val="0"/>
        </w:rPr>
      </w:pPr>
    </w:p>
    <w:p w:rsidR="00514EA0" w:rsidRPr="0023338F" w:rsidRDefault="00514EA0" w:rsidP="00514EA0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38F">
        <w:rPr>
          <w:rFonts w:ascii="Times New Roman" w:hAnsi="Times New Roman" w:cs="Times New Roman"/>
          <w:b/>
          <w:sz w:val="24"/>
          <w:szCs w:val="24"/>
        </w:rPr>
        <w:t xml:space="preserve">Систематизация форм инвалидности для решения вопросов доступности. </w:t>
      </w:r>
    </w:p>
    <w:p w:rsidR="00514EA0" w:rsidRPr="0023338F" w:rsidRDefault="00514EA0" w:rsidP="00514E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338F">
        <w:rPr>
          <w:rFonts w:ascii="Times New Roman" w:hAnsi="Times New Roman" w:cs="Times New Roman"/>
          <w:sz w:val="24"/>
          <w:szCs w:val="24"/>
        </w:rPr>
        <w:t>Для решения вопросов создания доступной среды жизнедеятельности на объектах социальной инфраструктуры разработана классификация форм инвалидности, которую условно можно обозначить «</w:t>
      </w:r>
      <w:proofErr w:type="spellStart"/>
      <w:r w:rsidRPr="0023338F">
        <w:rPr>
          <w:rFonts w:ascii="Times New Roman" w:hAnsi="Times New Roman" w:cs="Times New Roman"/>
          <w:sz w:val="24"/>
          <w:szCs w:val="24"/>
        </w:rPr>
        <w:t>пентада</w:t>
      </w:r>
      <w:proofErr w:type="spellEnd"/>
      <w:r w:rsidRPr="00233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38F">
        <w:rPr>
          <w:rFonts w:ascii="Times New Roman" w:hAnsi="Times New Roman" w:cs="Times New Roman"/>
          <w:sz w:val="24"/>
          <w:szCs w:val="24"/>
        </w:rPr>
        <w:t>косгу</w:t>
      </w:r>
      <w:proofErr w:type="spellEnd"/>
      <w:r w:rsidRPr="0023338F">
        <w:rPr>
          <w:rFonts w:ascii="Times New Roman" w:hAnsi="Times New Roman" w:cs="Times New Roman"/>
          <w:sz w:val="24"/>
          <w:szCs w:val="24"/>
        </w:rPr>
        <w:t>» (табл.2).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>Таблица 2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 xml:space="preserve">Классификация форм инвалидности 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60"/>
        <w:gridCol w:w="4649"/>
        <w:gridCol w:w="3062"/>
      </w:tblGrid>
      <w:tr w:rsidR="00514EA0" w:rsidRPr="0023338F" w:rsidTr="00852D0B">
        <w:tc>
          <w:tcPr>
            <w:tcW w:w="1902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Буквенное обозначение </w:t>
            </w:r>
          </w:p>
        </w:tc>
        <w:tc>
          <w:tcPr>
            <w:tcW w:w="5010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инвалидности</w:t>
            </w:r>
          </w:p>
        </w:tc>
        <w:tc>
          <w:tcPr>
            <w:tcW w:w="3261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Графическое изображение</w:t>
            </w:r>
          </w:p>
        </w:tc>
      </w:tr>
      <w:tr w:rsidR="00514EA0" w:rsidRPr="0023338F" w:rsidTr="00852D0B">
        <w:tc>
          <w:tcPr>
            <w:tcW w:w="1902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5010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sz w:val="24"/>
                <w:szCs w:val="24"/>
              </w:rPr>
              <w:t>Инвалиды, передвигающиеся на креслах-колясках</w:t>
            </w:r>
          </w:p>
        </w:tc>
        <w:tc>
          <w:tcPr>
            <w:tcW w:w="3261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B7394F" wp14:editId="071E7AF9">
                  <wp:extent cx="447675" cy="419100"/>
                  <wp:effectExtent l="0" t="0" r="9525" b="0"/>
                  <wp:docPr id="1" name="Рисунок 1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A0" w:rsidRPr="0023338F" w:rsidTr="00852D0B">
        <w:tc>
          <w:tcPr>
            <w:tcW w:w="1902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010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sz w:val="24"/>
                <w:szCs w:val="24"/>
              </w:rPr>
              <w:t>Инвалиды с нарушениями опорно-двигательного аппарата</w:t>
            </w:r>
          </w:p>
        </w:tc>
        <w:tc>
          <w:tcPr>
            <w:tcW w:w="3261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C0D01" wp14:editId="4A2BBEE6">
                  <wp:extent cx="466725" cy="419100"/>
                  <wp:effectExtent l="0" t="0" r="9525" b="0"/>
                  <wp:docPr id="2" name="Рисунок 2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A0" w:rsidRPr="0023338F" w:rsidTr="00852D0B">
        <w:tc>
          <w:tcPr>
            <w:tcW w:w="1902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5010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sz w:val="24"/>
                <w:szCs w:val="24"/>
              </w:rPr>
              <w:t>Инвалиды с нарушениями зрения</w:t>
            </w:r>
          </w:p>
        </w:tc>
        <w:tc>
          <w:tcPr>
            <w:tcW w:w="3261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C770A" wp14:editId="22BF8111">
                  <wp:extent cx="485775" cy="428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A0" w:rsidRPr="0023338F" w:rsidTr="00852D0B">
        <w:tc>
          <w:tcPr>
            <w:tcW w:w="1902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010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sz w:val="24"/>
                <w:szCs w:val="24"/>
              </w:rPr>
              <w:t>Инвалиды с нарушениями слуха</w:t>
            </w:r>
          </w:p>
        </w:tc>
        <w:tc>
          <w:tcPr>
            <w:tcW w:w="3261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99442" wp14:editId="4209700F">
                  <wp:extent cx="428625" cy="4000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EA0" w:rsidRPr="0023338F" w:rsidTr="00852D0B">
        <w:tc>
          <w:tcPr>
            <w:tcW w:w="1902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5010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sz w:val="24"/>
                <w:szCs w:val="24"/>
              </w:rPr>
              <w:t>Инвалиды с нарушениями умственного развития</w:t>
            </w:r>
          </w:p>
        </w:tc>
        <w:tc>
          <w:tcPr>
            <w:tcW w:w="3261" w:type="dxa"/>
          </w:tcPr>
          <w:p w:rsidR="00514EA0" w:rsidRPr="0023338F" w:rsidRDefault="00514EA0" w:rsidP="00852D0B">
            <w:pPr>
              <w:pStyle w:val="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3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95ED7" wp14:editId="39882D88">
                  <wp:extent cx="428625" cy="400050"/>
                  <wp:effectExtent l="0" t="0" r="9525" b="0"/>
                  <wp:docPr id="5" name="Рисунок 5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>В зависимости от формы инвалидности лицо сталкивается с определенными барьерами, мешающими ему пользоваться зданиями, сооружениями и предоставляемыми населению услугами наравне с остальными людьми.</w:t>
      </w:r>
    </w:p>
    <w:p w:rsidR="00514EA0" w:rsidRPr="0023338F" w:rsidRDefault="00514EA0" w:rsidP="00514EA0">
      <w:pPr>
        <w:ind w:firstLine="709"/>
        <w:jc w:val="both"/>
        <w:rPr>
          <w:b/>
        </w:rPr>
      </w:pPr>
      <w:r w:rsidRPr="0023338F">
        <w:rPr>
          <w:b/>
        </w:rPr>
        <w:lastRenderedPageBreak/>
        <w:t>3.Краткая характеристика барьеров окружающей среды для инвалидов разных форм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i/>
          <w:sz w:val="24"/>
          <w:szCs w:val="24"/>
        </w:rPr>
        <w:t>Для инвалидов, передвигающихся на креслах-колясках,</w:t>
      </w:r>
      <w:r w:rsidRPr="0023338F">
        <w:rPr>
          <w:rFonts w:ascii="Times New Roman" w:hAnsi="Times New Roman"/>
          <w:sz w:val="24"/>
          <w:szCs w:val="24"/>
        </w:rPr>
        <w:t xml:space="preserve"> барьерами различной степени выраженности могут быть пороги, ступени, неровное, скользкое покрытие, неправильно установленные пандусы, отсутствие поручней, высокое расположение информации, высокие прилавки, отсутствие места для разворота на </w:t>
      </w:r>
      <w:proofErr w:type="gramStart"/>
      <w:r w:rsidRPr="0023338F">
        <w:rPr>
          <w:rFonts w:ascii="Times New Roman" w:hAnsi="Times New Roman"/>
          <w:sz w:val="24"/>
          <w:szCs w:val="24"/>
        </w:rPr>
        <w:t>кресло-коляске</w:t>
      </w:r>
      <w:proofErr w:type="gramEnd"/>
      <w:r w:rsidRPr="0023338F">
        <w:rPr>
          <w:rFonts w:ascii="Times New Roman" w:hAnsi="Times New Roman"/>
          <w:sz w:val="24"/>
          <w:szCs w:val="24"/>
        </w:rPr>
        <w:t>, узкие дверные проемы, коридоры, отсутствие посторонней помощи при преодолении препятствий (при необходимости) и др. физические и информационные барьеры.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3338F">
        <w:rPr>
          <w:rFonts w:ascii="Times New Roman" w:hAnsi="Times New Roman"/>
          <w:i/>
          <w:sz w:val="24"/>
          <w:szCs w:val="24"/>
        </w:rPr>
        <w:t xml:space="preserve">Для инвалидов с нарушениями опорно-двигательного аппарата </w:t>
      </w:r>
      <w:r w:rsidRPr="0023338F">
        <w:rPr>
          <w:rFonts w:ascii="Times New Roman" w:hAnsi="Times New Roman"/>
          <w:sz w:val="24"/>
          <w:szCs w:val="24"/>
        </w:rPr>
        <w:t>барьерами различной степени выраженности могут быть:</w:t>
      </w:r>
    </w:p>
    <w:p w:rsidR="00514EA0" w:rsidRPr="0023338F" w:rsidRDefault="00514EA0" w:rsidP="00514EA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38F">
        <w:rPr>
          <w:rFonts w:ascii="Times New Roman" w:hAnsi="Times New Roman"/>
          <w:sz w:val="24"/>
          <w:szCs w:val="24"/>
        </w:rPr>
        <w:t xml:space="preserve">для лиц, передвигающихся самостоятельно с помощью тростей, костылей, опор – пороги, ступени, неровное, скользкое покрытие, неправильно установленные пандусы, отсутствие поручней, отсутствие мест отдыха на пути движения и др. физические барьеры; </w:t>
      </w:r>
      <w:proofErr w:type="gramEnd"/>
    </w:p>
    <w:p w:rsidR="00514EA0" w:rsidRPr="0023338F" w:rsidRDefault="00514EA0" w:rsidP="00514EA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>для лиц, не действующих руками – препятствия при выполнении действий руками (открывание дверей, снятие одежды и обуви и т.д., пользование краном, клавишами и др.), отсутствие помощи на объекте социальной инфраструктуры для осуществления действий руками;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38F">
        <w:rPr>
          <w:rFonts w:ascii="Times New Roman" w:hAnsi="Times New Roman"/>
          <w:i/>
          <w:sz w:val="24"/>
          <w:szCs w:val="24"/>
        </w:rPr>
        <w:t>Для инвалидов с нарушениями зрения</w:t>
      </w:r>
      <w:r w:rsidRPr="0023338F">
        <w:rPr>
          <w:rFonts w:ascii="Times New Roman" w:hAnsi="Times New Roman"/>
          <w:sz w:val="24"/>
          <w:szCs w:val="24"/>
        </w:rPr>
        <w:t xml:space="preserve"> барьерами различной степени выраженности могут быть отсутствие тактильных указателей, в том числе направления движения, информационных указателей, преграды на пути движения (стойки, колонны, углы, стеклянные двери без контрастного обозначения и др.); неровное, скользкое покрытие, отсутствие помощи на объекте социальной инфраструктуры для получения информации и ориентации и др.</w:t>
      </w:r>
      <w:proofErr w:type="gramEnd"/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38F">
        <w:rPr>
          <w:rFonts w:ascii="Times New Roman" w:hAnsi="Times New Roman"/>
          <w:i/>
          <w:sz w:val="24"/>
          <w:szCs w:val="24"/>
        </w:rPr>
        <w:t xml:space="preserve">Для инвалидов с нарушениями слуха </w:t>
      </w:r>
      <w:r w:rsidRPr="0023338F">
        <w:rPr>
          <w:rFonts w:ascii="Times New Roman" w:hAnsi="Times New Roman"/>
          <w:sz w:val="24"/>
          <w:szCs w:val="24"/>
        </w:rPr>
        <w:t xml:space="preserve">барьерами различной степени выраженности могут быть отсутствие зрительной информации, в том числе при чрезвычайных ситуациях на объекте социальной инфраструктуры, отсутствие возможности подключения современных технических средств реабилитации (слуховых аппаратов) к системам информации (например, через индукционные петли), электромагнитные помехи при проходе через турникеты, средства контроля для лиц с </w:t>
      </w:r>
      <w:proofErr w:type="spellStart"/>
      <w:r w:rsidRPr="0023338F">
        <w:rPr>
          <w:rFonts w:ascii="Times New Roman" w:hAnsi="Times New Roman"/>
          <w:sz w:val="24"/>
          <w:szCs w:val="24"/>
        </w:rPr>
        <w:t>кохлеарными</w:t>
      </w:r>
      <w:proofErr w:type="spellEnd"/>
      <w:r w:rsidRPr="00233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8F">
        <w:rPr>
          <w:rFonts w:ascii="Times New Roman" w:hAnsi="Times New Roman"/>
          <w:sz w:val="24"/>
          <w:szCs w:val="24"/>
        </w:rPr>
        <w:t>имплантами</w:t>
      </w:r>
      <w:proofErr w:type="spellEnd"/>
      <w:r w:rsidRPr="0023338F">
        <w:rPr>
          <w:rFonts w:ascii="Times New Roman" w:hAnsi="Times New Roman"/>
          <w:sz w:val="24"/>
          <w:szCs w:val="24"/>
        </w:rPr>
        <w:t xml:space="preserve">, отсутствие </w:t>
      </w:r>
      <w:proofErr w:type="spellStart"/>
      <w:r w:rsidRPr="0023338F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2333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38F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23338F">
        <w:rPr>
          <w:rFonts w:ascii="Times New Roman" w:hAnsi="Times New Roman"/>
          <w:sz w:val="24"/>
          <w:szCs w:val="24"/>
        </w:rPr>
        <w:t xml:space="preserve"> и др. информационные барьеры.</w:t>
      </w:r>
      <w:proofErr w:type="gramEnd"/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i/>
          <w:sz w:val="24"/>
          <w:szCs w:val="24"/>
        </w:rPr>
        <w:t>Для инвалидов с нарушениями умственного развития</w:t>
      </w:r>
      <w:r w:rsidRPr="0023338F">
        <w:rPr>
          <w:rFonts w:ascii="Times New Roman" w:hAnsi="Times New Roman"/>
          <w:sz w:val="24"/>
          <w:szCs w:val="24"/>
        </w:rPr>
        <w:t xml:space="preserve"> барьерами различной степени выраженности могут быть отсутствие понятной для усвоения информации на объекте социальной инфраструктуры, отсутствие помощи на объекте социальной инфраструктуры для получения информации и ориентации и др.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3338F">
        <w:rPr>
          <w:rFonts w:ascii="Times New Roman" w:hAnsi="Times New Roman"/>
          <w:b/>
          <w:sz w:val="24"/>
          <w:szCs w:val="24"/>
        </w:rPr>
        <w:t>4. Общие рекомендации для специалистов по устранению барьеров для инвалидов с разными формами инвалидности.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>Общие рекомендации по устранению барьеров окружающей среды на объектах социальной инфраструктуры представлены в табл.3</w:t>
      </w:r>
    </w:p>
    <w:p w:rsidR="00514EA0" w:rsidRPr="0023338F" w:rsidRDefault="00514EA0" w:rsidP="00514EA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8F">
        <w:rPr>
          <w:rFonts w:ascii="Times New Roman" w:hAnsi="Times New Roman"/>
          <w:sz w:val="24"/>
          <w:szCs w:val="24"/>
        </w:rPr>
        <w:t>Таблица 3</w:t>
      </w:r>
    </w:p>
    <w:p w:rsidR="00514EA0" w:rsidRPr="0023338F" w:rsidRDefault="00514EA0" w:rsidP="00514EA0">
      <w:pPr>
        <w:ind w:firstLine="709"/>
        <w:jc w:val="both"/>
      </w:pPr>
      <w:r w:rsidRPr="0023338F">
        <w:t>Общие рекомендации по устранению барьеров окружающей среды для инвалидов с разными формами инвалидности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973"/>
        <w:gridCol w:w="6598"/>
      </w:tblGrid>
      <w:tr w:rsidR="00514EA0" w:rsidRPr="0023338F" w:rsidTr="00852D0B">
        <w:tc>
          <w:tcPr>
            <w:tcW w:w="3085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23338F">
              <w:rPr>
                <w:b/>
                <w:bCs/>
              </w:rPr>
              <w:t>Основные формы инвалидности</w:t>
            </w:r>
          </w:p>
        </w:tc>
        <w:tc>
          <w:tcPr>
            <w:tcW w:w="7229" w:type="dxa"/>
            <w:tcBorders>
              <w:bottom w:val="single" w:sz="12" w:space="0" w:color="666666"/>
            </w:tcBorders>
            <w:shd w:val="clear" w:color="auto" w:fill="auto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23338F">
              <w:rPr>
                <w:b/>
                <w:bCs/>
              </w:rPr>
              <w:t>Общие рекомендации по устранению барьеров окружающей среды</w:t>
            </w:r>
          </w:p>
        </w:tc>
      </w:tr>
      <w:tr w:rsidR="00514EA0" w:rsidRPr="0023338F" w:rsidTr="00852D0B">
        <w:tc>
          <w:tcPr>
            <w:tcW w:w="3085" w:type="dxa"/>
          </w:tcPr>
          <w:p w:rsidR="00514EA0" w:rsidRPr="0023338F" w:rsidRDefault="00514EA0" w:rsidP="00852D0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Инвалиды, передвигающиеся на креслах-колясках</w:t>
            </w:r>
          </w:p>
        </w:tc>
        <w:tc>
          <w:tcPr>
            <w:tcW w:w="7229" w:type="dxa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</w:pPr>
            <w:r w:rsidRPr="0023338F">
              <w:t xml:space="preserve">Устранение физических барьеров на пути к месту предоставления услуг, альтернативные формы оказания услуг (в </w:t>
            </w:r>
            <w:proofErr w:type="spellStart"/>
            <w:r w:rsidRPr="0023338F">
              <w:t>т.ч</w:t>
            </w:r>
            <w:proofErr w:type="spellEnd"/>
            <w:r w:rsidRPr="0023338F">
              <w:t xml:space="preserve">.) на дому, удобное размещение информации, организация работы помощников </w:t>
            </w:r>
          </w:p>
        </w:tc>
      </w:tr>
      <w:tr w:rsidR="00514EA0" w:rsidRPr="0023338F" w:rsidTr="00852D0B">
        <w:tc>
          <w:tcPr>
            <w:tcW w:w="3085" w:type="dxa"/>
          </w:tcPr>
          <w:p w:rsidR="00514EA0" w:rsidRPr="0023338F" w:rsidRDefault="00514EA0" w:rsidP="00852D0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Инвалиды с нарушениями опорно-двигательного аппарата</w:t>
            </w:r>
          </w:p>
        </w:tc>
        <w:tc>
          <w:tcPr>
            <w:tcW w:w="7229" w:type="dxa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</w:pPr>
            <w:r w:rsidRPr="0023338F">
              <w:t>Устранение физических барьеров на пути к месту предоставления услуг, организация места для отдыха; для инвалидов не действующих рукам</w:t>
            </w:r>
            <w:proofErr w:type="gramStart"/>
            <w:r w:rsidRPr="0023338F">
              <w:t>и-</w:t>
            </w:r>
            <w:proofErr w:type="gramEnd"/>
            <w:r w:rsidRPr="0023338F">
              <w:t xml:space="preserve"> помощь при выполнении необходимых действий</w:t>
            </w:r>
          </w:p>
        </w:tc>
      </w:tr>
      <w:tr w:rsidR="00514EA0" w:rsidRPr="0023338F" w:rsidTr="00852D0B">
        <w:tc>
          <w:tcPr>
            <w:tcW w:w="3085" w:type="dxa"/>
          </w:tcPr>
          <w:p w:rsidR="00514EA0" w:rsidRPr="0023338F" w:rsidRDefault="00514EA0" w:rsidP="00852D0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Инвалиды с нарушениями зрения</w:t>
            </w:r>
          </w:p>
        </w:tc>
        <w:tc>
          <w:tcPr>
            <w:tcW w:w="7229" w:type="dxa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</w:pPr>
            <w:r w:rsidRPr="0023338F">
              <w:t xml:space="preserve">Устранение информационных и физических барьеров на пути движения, предоставление информации в доступном виде (укрупненный шрифт, плоско-точечный шрифт Брайля, контрастные знаки), допуск </w:t>
            </w:r>
            <w:proofErr w:type="spellStart"/>
            <w:r w:rsidRPr="0023338F">
              <w:t>тифлопереводчика</w:t>
            </w:r>
            <w:proofErr w:type="spellEnd"/>
            <w:r w:rsidRPr="0023338F">
              <w:t>, допуск собаки проводника</w:t>
            </w:r>
          </w:p>
        </w:tc>
      </w:tr>
      <w:tr w:rsidR="00514EA0" w:rsidRPr="0023338F" w:rsidTr="00852D0B">
        <w:tc>
          <w:tcPr>
            <w:tcW w:w="3085" w:type="dxa"/>
          </w:tcPr>
          <w:p w:rsidR="00514EA0" w:rsidRPr="0023338F" w:rsidRDefault="00514EA0" w:rsidP="00852D0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Инвалиды с нарушениями слуха</w:t>
            </w:r>
          </w:p>
        </w:tc>
        <w:tc>
          <w:tcPr>
            <w:tcW w:w="7229" w:type="dxa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</w:pPr>
            <w:r w:rsidRPr="0023338F">
              <w:t xml:space="preserve">Устранение барьеров по предоставлению информации, допуск </w:t>
            </w:r>
            <w:proofErr w:type="spellStart"/>
            <w:r w:rsidRPr="0023338F">
              <w:t>сурдопереводчика</w:t>
            </w:r>
            <w:proofErr w:type="spellEnd"/>
          </w:p>
        </w:tc>
      </w:tr>
      <w:tr w:rsidR="00514EA0" w:rsidRPr="0023338F" w:rsidTr="00852D0B">
        <w:tc>
          <w:tcPr>
            <w:tcW w:w="3085" w:type="dxa"/>
          </w:tcPr>
          <w:p w:rsidR="00514EA0" w:rsidRPr="0023338F" w:rsidRDefault="00514EA0" w:rsidP="00852D0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38F">
              <w:rPr>
                <w:rFonts w:ascii="Times New Roman" w:hAnsi="Times New Roman"/>
                <w:b/>
                <w:bCs/>
                <w:sz w:val="24"/>
                <w:szCs w:val="24"/>
              </w:rPr>
              <w:t>Инвалиды с нарушениями умственного развития</w:t>
            </w:r>
          </w:p>
        </w:tc>
        <w:tc>
          <w:tcPr>
            <w:tcW w:w="7229" w:type="dxa"/>
          </w:tcPr>
          <w:p w:rsidR="00514EA0" w:rsidRPr="0023338F" w:rsidRDefault="00514EA0" w:rsidP="00852D0B">
            <w:pPr>
              <w:autoSpaceDE w:val="0"/>
              <w:autoSpaceDN w:val="0"/>
              <w:adjustRightInd w:val="0"/>
              <w:ind w:firstLine="709"/>
              <w:jc w:val="both"/>
            </w:pPr>
            <w:r w:rsidRPr="0023338F">
              <w:t>Устранение барьеров по предоставлению информации («ясный язык» или «легкое чтение»), организация сопровождения</w:t>
            </w:r>
          </w:p>
        </w:tc>
      </w:tr>
    </w:tbl>
    <w:p w:rsidR="00792564" w:rsidRDefault="00514EA0">
      <w:bookmarkStart w:id="1" w:name="_GoBack"/>
      <w:bookmarkEnd w:id="1"/>
    </w:p>
    <w:sectPr w:rsidR="0079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A4"/>
    <w:multiLevelType w:val="hybridMultilevel"/>
    <w:tmpl w:val="B1EE685E"/>
    <w:lvl w:ilvl="0" w:tplc="59F447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5F5291B"/>
    <w:multiLevelType w:val="hybridMultilevel"/>
    <w:tmpl w:val="6AC6A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11F13"/>
    <w:multiLevelType w:val="hybridMultilevel"/>
    <w:tmpl w:val="47A01EA6"/>
    <w:lvl w:ilvl="0" w:tplc="20BE6C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4925609"/>
    <w:multiLevelType w:val="hybridMultilevel"/>
    <w:tmpl w:val="5FD2735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A0"/>
    <w:rsid w:val="000F7AE6"/>
    <w:rsid w:val="00514EA0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4E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4E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3">
    <w:name w:val="blk3"/>
    <w:rsid w:val="00514EA0"/>
  </w:style>
  <w:style w:type="character" w:customStyle="1" w:styleId="blk">
    <w:name w:val="blk"/>
    <w:basedOn w:val="a0"/>
    <w:rsid w:val="00514EA0"/>
    <w:rPr>
      <w:rFonts w:cs="Times New Roman"/>
    </w:rPr>
  </w:style>
  <w:style w:type="paragraph" w:customStyle="1" w:styleId="10">
    <w:name w:val="Заголовок Р1"/>
    <w:basedOn w:val="a"/>
    <w:link w:val="11"/>
    <w:rsid w:val="00514EA0"/>
    <w:pPr>
      <w:spacing w:after="200" w:line="360" w:lineRule="auto"/>
      <w:jc w:val="center"/>
    </w:pPr>
    <w:rPr>
      <w:rFonts w:eastAsia="Times New Roman"/>
      <w:b/>
      <w:sz w:val="28"/>
      <w:szCs w:val="28"/>
    </w:rPr>
  </w:style>
  <w:style w:type="character" w:customStyle="1" w:styleId="11">
    <w:name w:val="Заголовок Р1 Знак"/>
    <w:link w:val="10"/>
    <w:locked/>
    <w:rsid w:val="00514EA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A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4E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4E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3">
    <w:name w:val="blk3"/>
    <w:rsid w:val="00514EA0"/>
  </w:style>
  <w:style w:type="character" w:customStyle="1" w:styleId="blk">
    <w:name w:val="blk"/>
    <w:basedOn w:val="a0"/>
    <w:rsid w:val="00514EA0"/>
    <w:rPr>
      <w:rFonts w:cs="Times New Roman"/>
    </w:rPr>
  </w:style>
  <w:style w:type="paragraph" w:customStyle="1" w:styleId="10">
    <w:name w:val="Заголовок Р1"/>
    <w:basedOn w:val="a"/>
    <w:link w:val="11"/>
    <w:rsid w:val="00514EA0"/>
    <w:pPr>
      <w:spacing w:after="200" w:line="360" w:lineRule="auto"/>
      <w:jc w:val="center"/>
    </w:pPr>
    <w:rPr>
      <w:rFonts w:eastAsia="Times New Roman"/>
      <w:b/>
      <w:sz w:val="28"/>
      <w:szCs w:val="28"/>
    </w:rPr>
  </w:style>
  <w:style w:type="character" w:customStyle="1" w:styleId="11">
    <w:name w:val="Заголовок Р1 Знак"/>
    <w:link w:val="10"/>
    <w:locked/>
    <w:rsid w:val="00514EA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A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2990</Words>
  <Characters>17047</Characters>
  <Application>Microsoft Office Word</Application>
  <DocSecurity>0</DocSecurity>
  <Lines>142</Lines>
  <Paragraphs>39</Paragraphs>
  <ScaleCrop>false</ScaleCrop>
  <Company/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dcterms:created xsi:type="dcterms:W3CDTF">2026-02-05T11:27:00Z</dcterms:created>
  <dcterms:modified xsi:type="dcterms:W3CDTF">2026-02-05T11:28:00Z</dcterms:modified>
</cp:coreProperties>
</file>